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9B69A" w14:textId="77777777" w:rsidR="00A57BA3" w:rsidRPr="003669C0" w:rsidRDefault="00A57BA3" w:rsidP="009B30E0">
      <w:pPr>
        <w:pStyle w:val="Heading1"/>
        <w:spacing w:after="0" w:line="240" w:lineRule="auto"/>
        <w:jc w:val="center"/>
      </w:pPr>
      <w:bookmarkStart w:id="0" w:name="_Toc214546318"/>
      <w:r w:rsidRPr="003669C0">
        <w:t xml:space="preserve">PHỤ LỤC </w:t>
      </w:r>
      <w:bookmarkEnd w:id="0"/>
      <w:r w:rsidRPr="003669C0">
        <w:t>11</w:t>
      </w:r>
      <w:r w:rsidRPr="003669C0">
        <w:br/>
      </w:r>
      <w:bookmarkStart w:id="1" w:name="_Toc214546319"/>
      <w:r w:rsidRPr="003669C0">
        <w:t>NHÓM CHUẨN BỊ ỨNG PHÓ SỰ CỐ</w:t>
      </w:r>
      <w:bookmarkEnd w:id="1"/>
    </w:p>
    <w:p w14:paraId="42845693" w14:textId="77777777" w:rsidR="0029058A" w:rsidRPr="00AF38CF" w:rsidRDefault="0029058A" w:rsidP="009B30E0">
      <w:pPr>
        <w:pStyle w:val="Heading1"/>
        <w:spacing w:after="0" w:line="240" w:lineRule="auto"/>
        <w:jc w:val="center"/>
      </w:pPr>
      <w:r w:rsidRPr="00926F72">
        <w:rPr>
          <w:b w:val="0"/>
          <w:bCs w:val="0"/>
          <w:i/>
          <w:iCs/>
        </w:rPr>
        <w:t>(Kèm theo Thông tư số 59/2025/TT-BKHCN ngày 31 tháng 12 năm 2025</w:t>
      </w:r>
      <w:r>
        <w:br/>
      </w:r>
      <w:r w:rsidRPr="00926F72">
        <w:rPr>
          <w:b w:val="0"/>
          <w:bCs w:val="0"/>
          <w:i/>
          <w:iCs/>
        </w:rPr>
        <w:t>của Bộ trưởng Bộ Khoa học và Công nghệ)</w:t>
      </w:r>
    </w:p>
    <w:p w14:paraId="1C0BB7A8" w14:textId="77777777" w:rsidR="00A57BA3" w:rsidRPr="00C61BC8" w:rsidRDefault="00A57BA3" w:rsidP="00A57BA3">
      <w:pPr>
        <w:spacing w:before="240"/>
        <w:jc w:val="center"/>
        <w:rPr>
          <w:i/>
          <w:color w:val="auto"/>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62"/>
      </w:tblGrid>
      <w:tr w:rsidR="00A57BA3" w:rsidRPr="003669C0" w14:paraId="4C7BAFDF" w14:textId="77777777" w:rsidTr="0016375E">
        <w:tc>
          <w:tcPr>
            <w:tcW w:w="5000" w:type="pct"/>
            <w:tcMar>
              <w:top w:w="0" w:type="dxa"/>
              <w:left w:w="0" w:type="dxa"/>
              <w:bottom w:w="0" w:type="dxa"/>
              <w:right w:w="0" w:type="dxa"/>
            </w:tcMar>
            <w:vAlign w:val="center"/>
          </w:tcPr>
          <w:p w14:paraId="0891627B" w14:textId="77777777" w:rsidR="00A57BA3" w:rsidRPr="003669C0" w:rsidRDefault="00A57BA3" w:rsidP="0016375E">
            <w:pPr>
              <w:spacing w:before="240"/>
              <w:jc w:val="both"/>
              <w:rPr>
                <w:color w:val="auto"/>
              </w:rPr>
            </w:pPr>
            <w:r w:rsidRPr="003669C0">
              <w:rPr>
                <w:b/>
                <w:bCs/>
                <w:color w:val="auto"/>
              </w:rPr>
              <w:t>Nhóm chuẩn bị ứng phó sự cố I</w:t>
            </w:r>
          </w:p>
        </w:tc>
      </w:tr>
      <w:tr w:rsidR="00A57BA3" w:rsidRPr="003669C0" w14:paraId="4760B7FF" w14:textId="77777777" w:rsidTr="0016375E">
        <w:tc>
          <w:tcPr>
            <w:tcW w:w="5000" w:type="pct"/>
            <w:tcMar>
              <w:top w:w="0" w:type="dxa"/>
              <w:left w:w="0" w:type="dxa"/>
              <w:bottom w:w="0" w:type="dxa"/>
              <w:right w:w="0" w:type="dxa"/>
            </w:tcMar>
            <w:vAlign w:val="center"/>
          </w:tcPr>
          <w:p w14:paraId="4016D7C7" w14:textId="77777777" w:rsidR="00A57BA3" w:rsidRPr="003669C0" w:rsidRDefault="00A57BA3" w:rsidP="0016375E">
            <w:pPr>
              <w:spacing w:before="240"/>
              <w:jc w:val="both"/>
              <w:rPr>
                <w:color w:val="auto"/>
              </w:rPr>
            </w:pPr>
            <w:r w:rsidRPr="003669C0">
              <w:rPr>
                <w:color w:val="auto"/>
              </w:rPr>
              <w:t>Định nghĩa: Nhóm chuẩn bị ứng phó sự cố I là các cơ sở mà sự cố xảy ra bên trong cơ sở (kể cả sự cố có xác suất xảy ra rất thấp) có khả năng làm gia tăng những hiệu ứng tất định gây ảnh hưởng nghiêm trọng đến sức khỏe của công chúng bên ngoài cơ sở.</w:t>
            </w:r>
          </w:p>
        </w:tc>
      </w:tr>
      <w:tr w:rsidR="00A57BA3" w:rsidRPr="003669C0" w14:paraId="5E9C7C74" w14:textId="77777777" w:rsidTr="0016375E">
        <w:tc>
          <w:tcPr>
            <w:tcW w:w="5000" w:type="pct"/>
            <w:tcMar>
              <w:top w:w="0" w:type="dxa"/>
              <w:left w:w="0" w:type="dxa"/>
              <w:bottom w:w="0" w:type="dxa"/>
              <w:right w:w="0" w:type="dxa"/>
            </w:tcMar>
            <w:vAlign w:val="center"/>
          </w:tcPr>
          <w:p w14:paraId="647F8F25" w14:textId="77777777" w:rsidR="00A57BA3" w:rsidRPr="003669C0" w:rsidRDefault="00A57BA3" w:rsidP="0016375E">
            <w:pPr>
              <w:spacing w:before="240"/>
              <w:jc w:val="both"/>
              <w:rPr>
                <w:color w:val="auto"/>
              </w:rPr>
            </w:pPr>
            <w:r w:rsidRPr="003669C0">
              <w:rPr>
                <w:color w:val="auto"/>
              </w:rPr>
              <w:t>Cơ sở điển hình thuộc nhóm chuẩn bị ứng phó sự cố I:</w:t>
            </w:r>
          </w:p>
          <w:p w14:paraId="0CA372A9" w14:textId="77777777" w:rsidR="00A57BA3" w:rsidRPr="003669C0" w:rsidRDefault="00A57BA3" w:rsidP="0016375E">
            <w:pPr>
              <w:spacing w:before="240"/>
              <w:jc w:val="both"/>
              <w:rPr>
                <w:color w:val="auto"/>
              </w:rPr>
            </w:pPr>
            <w:r w:rsidRPr="003669C0">
              <w:rPr>
                <w:color w:val="auto"/>
              </w:rPr>
              <w:t>- Lò phản ứng với công suất ≥ 100 MW (th) (lò năng lượng, tàu chạy năng lượng hạt nhân và các lò nghiên cứu).</w:t>
            </w:r>
          </w:p>
          <w:p w14:paraId="7572664D" w14:textId="77777777" w:rsidR="00A57BA3" w:rsidRPr="003669C0" w:rsidRDefault="00A57BA3" w:rsidP="0016375E">
            <w:pPr>
              <w:spacing w:before="240"/>
              <w:jc w:val="both"/>
              <w:rPr>
                <w:color w:val="auto"/>
              </w:rPr>
            </w:pPr>
            <w:r w:rsidRPr="003669C0">
              <w:rPr>
                <w:color w:val="auto"/>
              </w:rPr>
              <w:t>- Bể chứa nhiên liệu đã qua sử dụng có thể chứa các thanh nhiên liệu đã cháy có tổng lượng hoạt độ lớn hơn 10</w:t>
            </w:r>
            <w:r w:rsidRPr="003669C0">
              <w:rPr>
                <w:color w:val="auto"/>
                <w:vertAlign w:val="superscript"/>
              </w:rPr>
              <w:t>17</w:t>
            </w:r>
            <w:r w:rsidRPr="003669C0">
              <w:rPr>
                <w:color w:val="auto"/>
              </w:rPr>
              <w:t xml:space="preserve"> Bq Cs-137 (tương đương với khả năng lưu giữ trong lõi lò phản ứng công suất 3000 MW (th)).</w:t>
            </w:r>
          </w:p>
          <w:p w14:paraId="40CB9EEB" w14:textId="77777777" w:rsidR="00A57BA3" w:rsidRPr="003669C0" w:rsidRDefault="00A57BA3" w:rsidP="0016375E">
            <w:pPr>
              <w:spacing w:before="240"/>
              <w:jc w:val="both"/>
              <w:rPr>
                <w:color w:val="auto"/>
              </w:rPr>
            </w:pPr>
            <w:r w:rsidRPr="003669C0">
              <w:rPr>
                <w:color w:val="auto"/>
              </w:rPr>
              <w:t>- Các cơ sở lưu giữ chất phóng xạ có thể phát tán gây nên hiệu ứng tất định nghiêm trọng ngoài khu vực.</w:t>
            </w:r>
          </w:p>
        </w:tc>
      </w:tr>
      <w:tr w:rsidR="00A57BA3" w:rsidRPr="003669C0" w14:paraId="493BF89E" w14:textId="77777777" w:rsidTr="0016375E">
        <w:tc>
          <w:tcPr>
            <w:tcW w:w="5000" w:type="pct"/>
            <w:tcMar>
              <w:top w:w="0" w:type="dxa"/>
              <w:left w:w="0" w:type="dxa"/>
              <w:bottom w:w="0" w:type="dxa"/>
              <w:right w:w="0" w:type="dxa"/>
            </w:tcMar>
            <w:vAlign w:val="center"/>
          </w:tcPr>
          <w:p w14:paraId="345F5B3D" w14:textId="77777777" w:rsidR="00A57BA3" w:rsidRPr="003669C0" w:rsidRDefault="00A57BA3" w:rsidP="0016375E">
            <w:pPr>
              <w:spacing w:before="240"/>
              <w:jc w:val="both"/>
              <w:rPr>
                <w:color w:val="auto"/>
              </w:rPr>
            </w:pPr>
            <w:r w:rsidRPr="003669C0">
              <w:rPr>
                <w:b/>
                <w:bCs/>
                <w:color w:val="auto"/>
              </w:rPr>
              <w:t>Nhóm chuẩn bị ứng phó sự cố II</w:t>
            </w:r>
          </w:p>
        </w:tc>
      </w:tr>
      <w:tr w:rsidR="00A57BA3" w:rsidRPr="003669C0" w14:paraId="33C33F9D" w14:textId="77777777" w:rsidTr="00D478B1">
        <w:trPr>
          <w:trHeight w:val="1920"/>
        </w:trPr>
        <w:tc>
          <w:tcPr>
            <w:tcW w:w="5000" w:type="pct"/>
            <w:tcMar>
              <w:top w:w="0" w:type="dxa"/>
              <w:left w:w="0" w:type="dxa"/>
              <w:bottom w:w="0" w:type="dxa"/>
              <w:right w:w="0" w:type="dxa"/>
            </w:tcMar>
            <w:vAlign w:val="center"/>
          </w:tcPr>
          <w:p w14:paraId="1CBDADDA" w14:textId="77777777" w:rsidR="00A57BA3" w:rsidRPr="003669C0" w:rsidRDefault="00A57BA3" w:rsidP="0016375E">
            <w:pPr>
              <w:spacing w:before="240"/>
              <w:jc w:val="both"/>
              <w:rPr>
                <w:color w:val="auto"/>
              </w:rPr>
            </w:pPr>
            <w:r w:rsidRPr="003669C0">
              <w:rPr>
                <w:color w:val="auto"/>
              </w:rPr>
              <w:t>Định nghĩa: Nhóm chuẩn bị ứng phó sự cố II là các cơ sở mà sự cố xảy ra bên trong cơ sở có khả năng làm gia tăng liều cho công chúng ở bên ngoài cơ sở và cần phải có hành động bảo vệ khẩn cấp theo các tiêu chuẩn quốc gia hoặc quốc tế. Nhóm chuẩn bị ứng phó sự cố II không bao gồm các cơ sở thuộc nhóm chuẩn bị ứng phó sự cố I.</w:t>
            </w:r>
          </w:p>
        </w:tc>
      </w:tr>
      <w:tr w:rsidR="00A57BA3" w:rsidRPr="003669C0" w14:paraId="4A12C86A" w14:textId="77777777" w:rsidTr="00D478B1">
        <w:trPr>
          <w:trHeight w:val="3889"/>
        </w:trPr>
        <w:tc>
          <w:tcPr>
            <w:tcW w:w="5000" w:type="pct"/>
            <w:tcMar>
              <w:top w:w="0" w:type="dxa"/>
              <w:left w:w="0" w:type="dxa"/>
              <w:bottom w:w="0" w:type="dxa"/>
              <w:right w:w="0" w:type="dxa"/>
            </w:tcMar>
            <w:vAlign w:val="center"/>
          </w:tcPr>
          <w:p w14:paraId="646C4572" w14:textId="77777777" w:rsidR="00A57BA3" w:rsidRPr="003669C0" w:rsidRDefault="00A57BA3" w:rsidP="0016375E">
            <w:pPr>
              <w:spacing w:before="240"/>
              <w:jc w:val="both"/>
              <w:rPr>
                <w:color w:val="auto"/>
              </w:rPr>
            </w:pPr>
            <w:r w:rsidRPr="003669C0">
              <w:rPr>
                <w:color w:val="auto"/>
              </w:rPr>
              <w:t>Cơ sở điển hình thuộc nhóm chuẩn bị ứng phó sự cố II:</w:t>
            </w:r>
          </w:p>
          <w:p w14:paraId="28B11755" w14:textId="77777777" w:rsidR="00A57BA3" w:rsidRPr="003669C0" w:rsidRDefault="00A57BA3" w:rsidP="0016375E">
            <w:pPr>
              <w:spacing w:before="240"/>
              <w:jc w:val="both"/>
              <w:rPr>
                <w:color w:val="auto"/>
              </w:rPr>
            </w:pPr>
            <w:r w:rsidRPr="003669C0">
              <w:rPr>
                <w:color w:val="auto"/>
              </w:rPr>
              <w:t>- Lò phản ứng với công suất từ 2 MW (th) tới 100 MW (th).</w:t>
            </w:r>
          </w:p>
          <w:p w14:paraId="2CD8E774" w14:textId="77777777" w:rsidR="00A57BA3" w:rsidRPr="003669C0" w:rsidRDefault="00A57BA3" w:rsidP="0016375E">
            <w:pPr>
              <w:spacing w:before="240"/>
              <w:jc w:val="both"/>
              <w:rPr>
                <w:color w:val="auto"/>
              </w:rPr>
            </w:pPr>
            <w:r w:rsidRPr="003669C0">
              <w:rPr>
                <w:color w:val="auto"/>
              </w:rPr>
              <w:t>- Bể chứa nhiên liệu đã cháy yêu cầu hoạt động làm lạnh.</w:t>
            </w:r>
          </w:p>
          <w:p w14:paraId="1834233C" w14:textId="77777777" w:rsidR="00A57BA3" w:rsidRPr="003669C0" w:rsidRDefault="00A57BA3" w:rsidP="0016375E">
            <w:pPr>
              <w:spacing w:before="240"/>
              <w:jc w:val="both"/>
              <w:rPr>
                <w:color w:val="auto"/>
              </w:rPr>
            </w:pPr>
            <w:r w:rsidRPr="003669C0">
              <w:rPr>
                <w:color w:val="auto"/>
              </w:rPr>
              <w:t>- Các cơ sở có khả năng mất kiểm soát giới hạn trong phạm vi 0,5 km từ đường biên ngoài khu vực cơ sở.</w:t>
            </w:r>
          </w:p>
          <w:p w14:paraId="23388353" w14:textId="77777777" w:rsidR="00A57BA3" w:rsidRPr="003669C0" w:rsidRDefault="00A57BA3" w:rsidP="0016375E">
            <w:pPr>
              <w:spacing w:before="240"/>
              <w:jc w:val="both"/>
              <w:rPr>
                <w:color w:val="auto"/>
              </w:rPr>
            </w:pPr>
            <w:r w:rsidRPr="003669C0">
              <w:rPr>
                <w:color w:val="auto"/>
              </w:rPr>
              <w:t>- Các cơ sở lưu giữ chất phóng xạ có thể phát tán gây nên liều yêu cầu thực hiện hành động bảo vệ khẩn cấp ngoài khu vực.</w:t>
            </w:r>
          </w:p>
        </w:tc>
      </w:tr>
      <w:tr w:rsidR="00A57BA3" w:rsidRPr="003669C0" w14:paraId="780D0E2A" w14:textId="77777777" w:rsidTr="0016375E">
        <w:tc>
          <w:tcPr>
            <w:tcW w:w="5000" w:type="pct"/>
            <w:tcMar>
              <w:top w:w="0" w:type="dxa"/>
              <w:left w:w="0" w:type="dxa"/>
              <w:bottom w:w="0" w:type="dxa"/>
              <w:right w:w="0" w:type="dxa"/>
            </w:tcMar>
            <w:vAlign w:val="center"/>
          </w:tcPr>
          <w:p w14:paraId="4D9F6C5D" w14:textId="77777777" w:rsidR="00A57BA3" w:rsidRPr="003669C0" w:rsidRDefault="00A57BA3" w:rsidP="0016375E">
            <w:pPr>
              <w:spacing w:before="240"/>
              <w:jc w:val="both"/>
              <w:rPr>
                <w:color w:val="auto"/>
              </w:rPr>
            </w:pPr>
            <w:r w:rsidRPr="003669C0">
              <w:rPr>
                <w:b/>
                <w:bCs/>
                <w:color w:val="auto"/>
              </w:rPr>
              <w:lastRenderedPageBreak/>
              <w:t>Nhóm chuẩn bị ứng phó sự cố III</w:t>
            </w:r>
          </w:p>
        </w:tc>
      </w:tr>
      <w:tr w:rsidR="00A57BA3" w:rsidRPr="003669C0" w14:paraId="22F03F09" w14:textId="77777777" w:rsidTr="0016375E">
        <w:tc>
          <w:tcPr>
            <w:tcW w:w="5000" w:type="pct"/>
            <w:tcMar>
              <w:top w:w="0" w:type="dxa"/>
              <w:left w:w="0" w:type="dxa"/>
              <w:bottom w:w="0" w:type="dxa"/>
              <w:right w:w="0" w:type="dxa"/>
            </w:tcMar>
            <w:vAlign w:val="center"/>
          </w:tcPr>
          <w:p w14:paraId="27E54E0E" w14:textId="77777777" w:rsidR="00A57BA3" w:rsidRPr="003669C0" w:rsidRDefault="00A57BA3" w:rsidP="0016375E">
            <w:pPr>
              <w:spacing w:before="240"/>
              <w:jc w:val="both"/>
              <w:rPr>
                <w:color w:val="auto"/>
              </w:rPr>
            </w:pPr>
            <w:r w:rsidRPr="003669C0">
              <w:rPr>
                <w:color w:val="auto"/>
              </w:rPr>
              <w:t>Định nghĩa: Nhóm chuẩn bị ứng phó sự cố III là các cơ sở mà sự cố xảy ra bên trong cơ sở có khả năng làm gia tăng liều hoặc nhiễm xạ cần phải tiến hành các hành động bảo vệ khẩn cấp bên trong cơ sở.</w:t>
            </w:r>
          </w:p>
        </w:tc>
      </w:tr>
      <w:tr w:rsidR="00A57BA3" w:rsidRPr="003669C0" w14:paraId="1C44F335" w14:textId="77777777" w:rsidTr="0016375E">
        <w:tc>
          <w:tcPr>
            <w:tcW w:w="5000" w:type="pct"/>
            <w:tcMar>
              <w:top w:w="0" w:type="dxa"/>
              <w:left w:w="0" w:type="dxa"/>
              <w:bottom w:w="0" w:type="dxa"/>
              <w:right w:w="0" w:type="dxa"/>
            </w:tcMar>
            <w:vAlign w:val="center"/>
          </w:tcPr>
          <w:p w14:paraId="75AF0ED6" w14:textId="77777777" w:rsidR="00A57BA3" w:rsidRPr="003669C0" w:rsidRDefault="00A57BA3" w:rsidP="0016375E">
            <w:pPr>
              <w:spacing w:before="240"/>
              <w:jc w:val="both"/>
              <w:rPr>
                <w:color w:val="auto"/>
              </w:rPr>
            </w:pPr>
            <w:r w:rsidRPr="003669C0">
              <w:rPr>
                <w:color w:val="auto"/>
              </w:rPr>
              <w:t>Cơ sở điển hình thuộc Nhóm chuẩn bị ứng phó sự cố III:</w:t>
            </w:r>
          </w:p>
          <w:p w14:paraId="57D92E63" w14:textId="77777777" w:rsidR="00A57BA3" w:rsidRPr="003669C0" w:rsidRDefault="00A57BA3" w:rsidP="0016375E">
            <w:pPr>
              <w:spacing w:before="240"/>
              <w:jc w:val="both"/>
              <w:rPr>
                <w:color w:val="auto"/>
              </w:rPr>
            </w:pPr>
            <w:r w:rsidRPr="003669C0">
              <w:rPr>
                <w:color w:val="auto"/>
              </w:rPr>
              <w:t>- Cơ sở có khả năng gây suất liều chiếu ngoài trực tiếp ≥ 100 mGy/h tại khoảng cách 1m nếu che chắn bị mất.</w:t>
            </w:r>
          </w:p>
          <w:p w14:paraId="41D5758A" w14:textId="77777777" w:rsidR="00A57BA3" w:rsidRPr="003669C0" w:rsidRDefault="00A57BA3" w:rsidP="0016375E">
            <w:pPr>
              <w:spacing w:before="240"/>
              <w:jc w:val="both"/>
              <w:rPr>
                <w:color w:val="auto"/>
              </w:rPr>
            </w:pPr>
            <w:r w:rsidRPr="003669C0">
              <w:rPr>
                <w:color w:val="auto"/>
              </w:rPr>
              <w:t>- Cơ sở có khả năng mất kiểm soát giới hạn từ 0,5 km trở lên tính từ biên ngoài khu vực cơ sở.</w:t>
            </w:r>
          </w:p>
          <w:p w14:paraId="350B065A" w14:textId="77777777" w:rsidR="00A57BA3" w:rsidRPr="003669C0" w:rsidRDefault="00A57BA3" w:rsidP="0016375E">
            <w:pPr>
              <w:spacing w:before="240"/>
              <w:jc w:val="both"/>
              <w:rPr>
                <w:color w:val="auto"/>
              </w:rPr>
            </w:pPr>
            <w:r w:rsidRPr="003669C0">
              <w:rPr>
                <w:color w:val="auto"/>
              </w:rPr>
              <w:t>- Lò phản ứng với công suất ≤ 2 MW (th).</w:t>
            </w:r>
          </w:p>
          <w:p w14:paraId="02FF6EA9" w14:textId="77777777" w:rsidR="00A57BA3" w:rsidRPr="003669C0" w:rsidRDefault="00A57BA3" w:rsidP="0016375E">
            <w:pPr>
              <w:spacing w:before="240"/>
              <w:jc w:val="both"/>
              <w:rPr>
                <w:color w:val="auto"/>
              </w:rPr>
            </w:pPr>
            <w:r w:rsidRPr="003669C0">
              <w:rPr>
                <w:color w:val="auto"/>
              </w:rPr>
              <w:t>- Cơ sở có lượng lưu giữ chất phóng xạ có thể phát tán gây nên liều yêu cầu thực hiện hành động bảo vệ khẩn cấp trong khu vực của cơ sở.</w:t>
            </w:r>
          </w:p>
        </w:tc>
      </w:tr>
      <w:tr w:rsidR="00A57BA3" w:rsidRPr="003669C0" w14:paraId="6A957612" w14:textId="77777777" w:rsidTr="0016375E">
        <w:tc>
          <w:tcPr>
            <w:tcW w:w="5000" w:type="pct"/>
            <w:tcMar>
              <w:top w:w="0" w:type="dxa"/>
              <w:left w:w="0" w:type="dxa"/>
              <w:bottom w:w="0" w:type="dxa"/>
              <w:right w:w="0" w:type="dxa"/>
            </w:tcMar>
            <w:vAlign w:val="center"/>
          </w:tcPr>
          <w:p w14:paraId="1C32F95F" w14:textId="77777777" w:rsidR="00A57BA3" w:rsidRPr="003669C0" w:rsidRDefault="00A57BA3" w:rsidP="0016375E">
            <w:pPr>
              <w:spacing w:before="240"/>
              <w:jc w:val="both"/>
              <w:rPr>
                <w:color w:val="auto"/>
              </w:rPr>
            </w:pPr>
            <w:r w:rsidRPr="003669C0">
              <w:rPr>
                <w:b/>
                <w:bCs/>
                <w:color w:val="auto"/>
              </w:rPr>
              <w:t>Nhóm chuẩn bị ứng phó sự cố IV</w:t>
            </w:r>
          </w:p>
        </w:tc>
      </w:tr>
      <w:tr w:rsidR="00A57BA3" w:rsidRPr="003669C0" w14:paraId="5128EF97" w14:textId="77777777" w:rsidTr="0016375E">
        <w:tc>
          <w:tcPr>
            <w:tcW w:w="5000" w:type="pct"/>
            <w:tcMar>
              <w:top w:w="0" w:type="dxa"/>
              <w:left w:w="0" w:type="dxa"/>
              <w:bottom w:w="0" w:type="dxa"/>
              <w:right w:w="0" w:type="dxa"/>
            </w:tcMar>
            <w:vAlign w:val="center"/>
          </w:tcPr>
          <w:p w14:paraId="02DF721A" w14:textId="77777777" w:rsidR="00A57BA3" w:rsidRPr="003669C0" w:rsidRDefault="00A57BA3" w:rsidP="0016375E">
            <w:pPr>
              <w:spacing w:before="240"/>
              <w:jc w:val="both"/>
              <w:rPr>
                <w:color w:val="auto"/>
              </w:rPr>
            </w:pPr>
            <w:r w:rsidRPr="003669C0">
              <w:rPr>
                <w:color w:val="auto"/>
              </w:rPr>
              <w:t>Định nghĩa: Nhóm chuẩn bị ứng phó sự cố IV là các hoạt động và hành động có thể gây ra sự cố bức xạ, hạt nhân mà cần thực hiện hành động bảo vệ tại một khu vực bất kỳ.</w:t>
            </w:r>
          </w:p>
        </w:tc>
      </w:tr>
      <w:tr w:rsidR="00A57BA3" w:rsidRPr="003669C0" w14:paraId="3E3C69CB" w14:textId="77777777" w:rsidTr="0016375E">
        <w:tc>
          <w:tcPr>
            <w:tcW w:w="5000" w:type="pct"/>
            <w:tcMar>
              <w:top w:w="0" w:type="dxa"/>
              <w:left w:w="0" w:type="dxa"/>
              <w:bottom w:w="0" w:type="dxa"/>
              <w:right w:w="0" w:type="dxa"/>
            </w:tcMar>
            <w:vAlign w:val="center"/>
          </w:tcPr>
          <w:p w14:paraId="2A7C4AC7" w14:textId="77777777" w:rsidR="00A57BA3" w:rsidRPr="003669C0" w:rsidRDefault="00A57BA3" w:rsidP="0016375E">
            <w:pPr>
              <w:spacing w:before="240"/>
              <w:jc w:val="both"/>
              <w:rPr>
                <w:color w:val="auto"/>
              </w:rPr>
            </w:pPr>
            <w:r w:rsidRPr="003669C0">
              <w:rPr>
                <w:color w:val="auto"/>
              </w:rPr>
              <w:t>Nhóm chuẩn bị ứng phó sự cố IV có thể bao gồm:</w:t>
            </w:r>
          </w:p>
          <w:p w14:paraId="7D4D7361" w14:textId="77777777" w:rsidR="00A57BA3" w:rsidRPr="003669C0" w:rsidRDefault="00A57BA3" w:rsidP="0016375E">
            <w:pPr>
              <w:spacing w:before="240"/>
              <w:jc w:val="both"/>
              <w:rPr>
                <w:color w:val="auto"/>
              </w:rPr>
            </w:pPr>
            <w:r w:rsidRPr="003669C0">
              <w:rPr>
                <w:color w:val="auto"/>
              </w:rPr>
              <w:t>- Các hoạt động tiến hành công việc bức xạ được cấp phép;</w:t>
            </w:r>
          </w:p>
          <w:p w14:paraId="1F504E32" w14:textId="77777777" w:rsidR="00A57BA3" w:rsidRPr="003669C0" w:rsidRDefault="00A57BA3" w:rsidP="0016375E">
            <w:pPr>
              <w:spacing w:before="240"/>
              <w:jc w:val="both"/>
              <w:rPr>
                <w:color w:val="auto"/>
              </w:rPr>
            </w:pPr>
            <w:r w:rsidRPr="003669C0">
              <w:rPr>
                <w:color w:val="auto"/>
              </w:rPr>
              <w:t>- Các hoạt động trái phép như việc buôn bán, tàng trữ bất hợp pháp nguồn phóng xạ, hành động phá hoại, khủng bố;</w:t>
            </w:r>
          </w:p>
          <w:p w14:paraId="66D494AD" w14:textId="77777777" w:rsidR="00A57BA3" w:rsidRPr="003669C0" w:rsidRDefault="00A57BA3" w:rsidP="0016375E">
            <w:pPr>
              <w:spacing w:before="240"/>
              <w:jc w:val="both"/>
              <w:rPr>
                <w:color w:val="auto"/>
              </w:rPr>
            </w:pPr>
            <w:r w:rsidRPr="003669C0">
              <w:rPr>
                <w:color w:val="auto"/>
              </w:rPr>
              <w:t>- Các nguồn phóng xạ nằm ngoài kiểm soát;</w:t>
            </w:r>
          </w:p>
          <w:p w14:paraId="045899C0" w14:textId="77777777" w:rsidR="00A57BA3" w:rsidRPr="003669C0" w:rsidRDefault="00A57BA3" w:rsidP="0016375E">
            <w:pPr>
              <w:spacing w:before="240"/>
              <w:jc w:val="both"/>
              <w:rPr>
                <w:color w:val="auto"/>
              </w:rPr>
            </w:pPr>
            <w:r w:rsidRPr="003669C0">
              <w:rPr>
                <w:color w:val="auto"/>
              </w:rPr>
              <w:t>- Phát hiện mức tăng bức xạ từ một nguồn chưa biết hoặc hàng hóa bị nhiễm xạ;</w:t>
            </w:r>
          </w:p>
          <w:p w14:paraId="560F199D" w14:textId="77777777" w:rsidR="00A57BA3" w:rsidRPr="003669C0" w:rsidRDefault="00A57BA3" w:rsidP="0016375E">
            <w:pPr>
              <w:spacing w:before="240"/>
              <w:jc w:val="both"/>
              <w:rPr>
                <w:color w:val="auto"/>
              </w:rPr>
            </w:pPr>
            <w:r w:rsidRPr="003669C0">
              <w:rPr>
                <w:color w:val="auto"/>
              </w:rPr>
              <w:t>- Xác định triệu chứng lâm sàng do chiếu xạ;</w:t>
            </w:r>
          </w:p>
          <w:p w14:paraId="1C568516" w14:textId="77777777" w:rsidR="00A57BA3" w:rsidRPr="003669C0" w:rsidRDefault="00A57BA3" w:rsidP="0016375E">
            <w:pPr>
              <w:spacing w:before="240"/>
              <w:jc w:val="both"/>
              <w:rPr>
                <w:color w:val="auto"/>
              </w:rPr>
            </w:pPr>
            <w:r w:rsidRPr="003669C0">
              <w:rPr>
                <w:color w:val="auto"/>
              </w:rPr>
              <w:t>- Sự cố xuyên quốc gia không nằm trong nhóm chuẩn bị ứng phó sự cố V phát sinh từ một sự cố bức xạ hoặc hạt nhân tại quốc gia khác.</w:t>
            </w:r>
          </w:p>
        </w:tc>
      </w:tr>
      <w:tr w:rsidR="00A57BA3" w:rsidRPr="003669C0" w14:paraId="35182223" w14:textId="77777777" w:rsidTr="0016375E">
        <w:tc>
          <w:tcPr>
            <w:tcW w:w="5000" w:type="pct"/>
            <w:tcMar>
              <w:top w:w="0" w:type="dxa"/>
              <w:left w:w="0" w:type="dxa"/>
              <w:bottom w:w="0" w:type="dxa"/>
              <w:right w:w="0" w:type="dxa"/>
            </w:tcMar>
            <w:vAlign w:val="center"/>
          </w:tcPr>
          <w:p w14:paraId="2EB3718E" w14:textId="77777777" w:rsidR="00A57BA3" w:rsidRPr="003669C0" w:rsidRDefault="00A57BA3" w:rsidP="0016375E">
            <w:pPr>
              <w:spacing w:before="240"/>
              <w:jc w:val="both"/>
              <w:rPr>
                <w:color w:val="auto"/>
              </w:rPr>
            </w:pPr>
            <w:r w:rsidRPr="003669C0">
              <w:rPr>
                <w:b/>
                <w:bCs/>
                <w:color w:val="auto"/>
              </w:rPr>
              <w:t>Nhóm chuẩn bị ứng phó sự cố V</w:t>
            </w:r>
          </w:p>
        </w:tc>
      </w:tr>
      <w:tr w:rsidR="00A57BA3" w:rsidRPr="003669C0" w14:paraId="7F4EA362" w14:textId="77777777" w:rsidTr="0016375E">
        <w:tc>
          <w:tcPr>
            <w:tcW w:w="5000" w:type="pct"/>
            <w:tcMar>
              <w:top w:w="0" w:type="dxa"/>
              <w:left w:w="0" w:type="dxa"/>
              <w:bottom w:w="0" w:type="dxa"/>
              <w:right w:w="0" w:type="dxa"/>
            </w:tcMar>
            <w:vAlign w:val="center"/>
          </w:tcPr>
          <w:p w14:paraId="79E2727A" w14:textId="77777777" w:rsidR="00A57BA3" w:rsidRPr="003669C0" w:rsidRDefault="00A57BA3" w:rsidP="0016375E">
            <w:pPr>
              <w:spacing w:before="240"/>
              <w:jc w:val="both"/>
              <w:rPr>
                <w:color w:val="auto"/>
              </w:rPr>
            </w:pPr>
            <w:r w:rsidRPr="003669C0">
              <w:rPr>
                <w:color w:val="auto"/>
              </w:rPr>
              <w:t>Định nghĩa: Nhóm chuẩn bị ứng phó sự cố V là các khu vực nằm trong vùng và khu vực chuẩn bị ứng phó sự cố (PAZ, UPZ, EPD, ICPD) của một quốc gia đối với một cơ sở thuộc nhóm chuẩn bị ứng phó sự cố I hoặc II của một quốc gia khác.</w:t>
            </w:r>
          </w:p>
        </w:tc>
      </w:tr>
    </w:tbl>
    <w:p w14:paraId="651F33BC" w14:textId="0B3FFF62" w:rsidR="00C41E69" w:rsidRPr="00070E39" w:rsidRDefault="00C41E69" w:rsidP="00D478B1"/>
    <w:sectPr w:rsidR="00C41E69" w:rsidRPr="00070E39" w:rsidSect="00810C5E">
      <w:headerReference w:type="default" r:id="rId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8DF33" w14:textId="77777777" w:rsidR="005308B9" w:rsidRDefault="005308B9" w:rsidP="005A555F">
      <w:r>
        <w:separator/>
      </w:r>
    </w:p>
  </w:endnote>
  <w:endnote w:type="continuationSeparator" w:id="0">
    <w:p w14:paraId="5881AD3B" w14:textId="77777777" w:rsidR="005308B9" w:rsidRDefault="005308B9" w:rsidP="005A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0262F" w14:textId="77777777" w:rsidR="005308B9" w:rsidRDefault="005308B9" w:rsidP="005A555F">
      <w:r>
        <w:separator/>
      </w:r>
    </w:p>
  </w:footnote>
  <w:footnote w:type="continuationSeparator" w:id="0">
    <w:p w14:paraId="1DBF3DE2" w14:textId="77777777" w:rsidR="005308B9" w:rsidRDefault="005308B9" w:rsidP="005A5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45794"/>
      <w:docPartObj>
        <w:docPartGallery w:val="Page Numbers (Top of Page)"/>
        <w:docPartUnique/>
      </w:docPartObj>
    </w:sdtPr>
    <w:sdtEndPr>
      <w:rPr>
        <w:noProof/>
        <w:color w:val="auto"/>
      </w:rPr>
    </w:sdtEndPr>
    <w:sdtContent>
      <w:p w14:paraId="3E303163" w14:textId="0845F05B" w:rsidR="005A555F" w:rsidRPr="005A555F" w:rsidRDefault="005A555F">
        <w:pPr>
          <w:pStyle w:val="Header"/>
          <w:jc w:val="center"/>
          <w:rPr>
            <w:color w:val="auto"/>
          </w:rPr>
        </w:pPr>
        <w:r w:rsidRPr="005A555F">
          <w:rPr>
            <w:color w:val="auto"/>
          </w:rPr>
          <w:fldChar w:fldCharType="begin"/>
        </w:r>
        <w:r w:rsidRPr="005A555F">
          <w:rPr>
            <w:color w:val="auto"/>
          </w:rPr>
          <w:instrText xml:space="preserve"> PAGE   \* MERGEFORMAT </w:instrText>
        </w:r>
        <w:r w:rsidRPr="005A555F">
          <w:rPr>
            <w:color w:val="auto"/>
          </w:rPr>
          <w:fldChar w:fldCharType="separate"/>
        </w:r>
        <w:r w:rsidRPr="005A555F">
          <w:rPr>
            <w:noProof/>
            <w:color w:val="auto"/>
          </w:rPr>
          <w:t>2</w:t>
        </w:r>
        <w:r w:rsidRPr="005A555F">
          <w:rPr>
            <w:noProof/>
            <w:color w:val="auto"/>
          </w:rPr>
          <w:fldChar w:fldCharType="end"/>
        </w:r>
      </w:p>
    </w:sdtContent>
  </w:sdt>
  <w:p w14:paraId="1F64273C" w14:textId="77777777" w:rsidR="005A555F" w:rsidRDefault="005A55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D3"/>
    <w:rsid w:val="00070E39"/>
    <w:rsid w:val="001102C4"/>
    <w:rsid w:val="00176E14"/>
    <w:rsid w:val="001C5284"/>
    <w:rsid w:val="001E2569"/>
    <w:rsid w:val="002013C3"/>
    <w:rsid w:val="0029058A"/>
    <w:rsid w:val="002B4C14"/>
    <w:rsid w:val="00332EC8"/>
    <w:rsid w:val="005308B9"/>
    <w:rsid w:val="005A555F"/>
    <w:rsid w:val="006636F1"/>
    <w:rsid w:val="0077423A"/>
    <w:rsid w:val="00775546"/>
    <w:rsid w:val="00783671"/>
    <w:rsid w:val="00783AE2"/>
    <w:rsid w:val="00810C5E"/>
    <w:rsid w:val="00845958"/>
    <w:rsid w:val="009B30E0"/>
    <w:rsid w:val="009D12E2"/>
    <w:rsid w:val="009D6C21"/>
    <w:rsid w:val="00A54C36"/>
    <w:rsid w:val="00A57BA3"/>
    <w:rsid w:val="00C41E69"/>
    <w:rsid w:val="00C61BC8"/>
    <w:rsid w:val="00CD791F"/>
    <w:rsid w:val="00CE3EC4"/>
    <w:rsid w:val="00D478B1"/>
    <w:rsid w:val="00DA64C9"/>
    <w:rsid w:val="00F006D3"/>
    <w:rsid w:val="00F22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353CB"/>
  <w15:chartTrackingRefBased/>
  <w15:docId w15:val="{F175DB3E-A5EA-46F0-BADB-6EA09410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6D3"/>
    <w:pPr>
      <w:spacing w:after="0" w:line="240" w:lineRule="auto"/>
    </w:pPr>
    <w:rPr>
      <w:rFonts w:ascii="Times New Roman" w:eastAsia="Times New Roman" w:hAnsi="Times New Roman" w:cs="Times New Roman"/>
      <w:color w:val="0000FF"/>
      <w:sz w:val="28"/>
      <w:szCs w:val="28"/>
      <w:lang w:eastAsia="ko-KR"/>
    </w:rPr>
  </w:style>
  <w:style w:type="paragraph" w:styleId="Heading1">
    <w:name w:val="heading 1"/>
    <w:basedOn w:val="Normal"/>
    <w:next w:val="Normal"/>
    <w:link w:val="Heading1Char"/>
    <w:qFormat/>
    <w:rsid w:val="00F006D3"/>
    <w:pPr>
      <w:keepNext/>
      <w:spacing w:before="120" w:after="120" w:line="320" w:lineRule="exact"/>
      <w:outlineLvl w:val="0"/>
    </w:pPr>
    <w:rPr>
      <w:rFonts w:eastAsia="Malgun Gothic"/>
      <w:b/>
      <w:bCs/>
      <w:color w:val="auto"/>
      <w:kern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06D3"/>
    <w:rPr>
      <w:rFonts w:ascii="Times New Roman" w:eastAsia="Malgun Gothic" w:hAnsi="Times New Roman" w:cs="Times New Roman"/>
      <w:b/>
      <w:bCs/>
      <w:kern w:val="32"/>
      <w:sz w:val="28"/>
      <w:szCs w:val="28"/>
    </w:rPr>
  </w:style>
  <w:style w:type="character" w:styleId="CommentReference">
    <w:name w:val="annotation reference"/>
    <w:basedOn w:val="DefaultParagraphFont"/>
    <w:uiPriority w:val="99"/>
    <w:semiHidden/>
    <w:unhideWhenUsed/>
    <w:rsid w:val="002013C3"/>
    <w:rPr>
      <w:sz w:val="16"/>
      <w:szCs w:val="16"/>
    </w:rPr>
  </w:style>
  <w:style w:type="paragraph" w:styleId="CommentText">
    <w:name w:val="annotation text"/>
    <w:basedOn w:val="Normal"/>
    <w:link w:val="CommentTextChar"/>
    <w:uiPriority w:val="99"/>
    <w:semiHidden/>
    <w:unhideWhenUsed/>
    <w:rsid w:val="002013C3"/>
    <w:rPr>
      <w:sz w:val="20"/>
      <w:szCs w:val="20"/>
    </w:rPr>
  </w:style>
  <w:style w:type="character" w:customStyle="1" w:styleId="CommentTextChar">
    <w:name w:val="Comment Text Char"/>
    <w:basedOn w:val="DefaultParagraphFont"/>
    <w:link w:val="CommentText"/>
    <w:uiPriority w:val="99"/>
    <w:semiHidden/>
    <w:rsid w:val="002013C3"/>
    <w:rPr>
      <w:rFonts w:ascii="Times New Roman" w:eastAsia="Times New Roman" w:hAnsi="Times New Roman" w:cs="Times New Roman"/>
      <w:color w:val="0000FF"/>
      <w:sz w:val="20"/>
      <w:szCs w:val="20"/>
      <w:lang w:eastAsia="ko-KR"/>
    </w:rPr>
  </w:style>
  <w:style w:type="paragraph" w:styleId="CommentSubject">
    <w:name w:val="annotation subject"/>
    <w:basedOn w:val="CommentText"/>
    <w:next w:val="CommentText"/>
    <w:link w:val="CommentSubjectChar"/>
    <w:uiPriority w:val="99"/>
    <w:semiHidden/>
    <w:unhideWhenUsed/>
    <w:rsid w:val="002013C3"/>
    <w:rPr>
      <w:b/>
      <w:bCs/>
    </w:rPr>
  </w:style>
  <w:style w:type="character" w:customStyle="1" w:styleId="CommentSubjectChar">
    <w:name w:val="Comment Subject Char"/>
    <w:basedOn w:val="CommentTextChar"/>
    <w:link w:val="CommentSubject"/>
    <w:uiPriority w:val="99"/>
    <w:semiHidden/>
    <w:rsid w:val="002013C3"/>
    <w:rPr>
      <w:rFonts w:ascii="Times New Roman" w:eastAsia="Times New Roman" w:hAnsi="Times New Roman" w:cs="Times New Roman"/>
      <w:b/>
      <w:bCs/>
      <w:color w:val="0000FF"/>
      <w:sz w:val="20"/>
      <w:szCs w:val="20"/>
      <w:lang w:eastAsia="ko-KR"/>
    </w:rPr>
  </w:style>
  <w:style w:type="paragraph" w:styleId="Header">
    <w:name w:val="header"/>
    <w:basedOn w:val="Normal"/>
    <w:link w:val="HeaderChar"/>
    <w:uiPriority w:val="99"/>
    <w:unhideWhenUsed/>
    <w:rsid w:val="005A555F"/>
    <w:pPr>
      <w:tabs>
        <w:tab w:val="center" w:pos="4680"/>
        <w:tab w:val="right" w:pos="9360"/>
      </w:tabs>
    </w:pPr>
  </w:style>
  <w:style w:type="character" w:customStyle="1" w:styleId="HeaderChar">
    <w:name w:val="Header Char"/>
    <w:basedOn w:val="DefaultParagraphFont"/>
    <w:link w:val="Header"/>
    <w:uiPriority w:val="99"/>
    <w:rsid w:val="005A555F"/>
    <w:rPr>
      <w:rFonts w:ascii="Times New Roman" w:eastAsia="Times New Roman" w:hAnsi="Times New Roman" w:cs="Times New Roman"/>
      <w:color w:val="0000FF"/>
      <w:sz w:val="28"/>
      <w:szCs w:val="28"/>
      <w:lang w:eastAsia="ko-KR"/>
    </w:rPr>
  </w:style>
  <w:style w:type="paragraph" w:styleId="Footer">
    <w:name w:val="footer"/>
    <w:basedOn w:val="Normal"/>
    <w:link w:val="FooterChar"/>
    <w:uiPriority w:val="99"/>
    <w:unhideWhenUsed/>
    <w:rsid w:val="005A555F"/>
    <w:pPr>
      <w:tabs>
        <w:tab w:val="center" w:pos="4680"/>
        <w:tab w:val="right" w:pos="9360"/>
      </w:tabs>
    </w:pPr>
  </w:style>
  <w:style w:type="character" w:customStyle="1" w:styleId="FooterChar">
    <w:name w:val="Footer Char"/>
    <w:basedOn w:val="DefaultParagraphFont"/>
    <w:link w:val="Footer"/>
    <w:uiPriority w:val="99"/>
    <w:rsid w:val="005A555F"/>
    <w:rPr>
      <w:rFonts w:ascii="Times New Roman" w:eastAsia="Times New Roman" w:hAnsi="Times New Roman" w:cs="Times New Roman"/>
      <w:color w:val="0000FF"/>
      <w:sz w:val="28"/>
      <w:szCs w:val="2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984115-DF6E-473D-9E14-05BB095FF40C}"/>
</file>

<file path=customXml/itemProps2.xml><?xml version="1.0" encoding="utf-8"?>
<ds:datastoreItem xmlns:ds="http://schemas.openxmlformats.org/officeDocument/2006/customXml" ds:itemID="{94798DEA-1025-49AA-949B-813AD32DB5AD}"/>
</file>

<file path=customXml/itemProps3.xml><?xml version="1.0" encoding="utf-8"?>
<ds:datastoreItem xmlns:ds="http://schemas.openxmlformats.org/officeDocument/2006/customXml" ds:itemID="{8AD5618D-95B9-4587-9E19-4419EE5C62D7}"/>
</file>

<file path=docProps/app.xml><?xml version="1.0" encoding="utf-8"?>
<Properties xmlns="http://schemas.openxmlformats.org/officeDocument/2006/extended-properties" xmlns:vt="http://schemas.openxmlformats.org/officeDocument/2006/docPropsVTypes">
  <Template>Normal.dotm</Template>
  <TotalTime>6</TotalTime>
  <Pages>3</Pages>
  <Words>492</Words>
  <Characters>2811</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Thinh Lai Tien</cp:lastModifiedBy>
  <cp:revision>14</cp:revision>
  <cp:lastPrinted>2026-01-13T00:54:00Z</cp:lastPrinted>
  <dcterms:created xsi:type="dcterms:W3CDTF">2026-01-12T09:32:00Z</dcterms:created>
  <dcterms:modified xsi:type="dcterms:W3CDTF">2026-01-13T00:54:00Z</dcterms:modified>
</cp:coreProperties>
</file>